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3013</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Jones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October 2024</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Course 1 Paper</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Self-esteem, self-efficacy, and self-concept are the elements that make up interpersonal relations and how humans behave. These concepts shape individuals into who they are and how they look at others. It influences how they act and their overall relationships with others. Self-concept is how individuals perceive themselves. Self-efficacy is believing in one’s ability for them to achieve their goals. Self-esteem is the evaluation of someone’s or their worth. Together, these concepts shape how humans communicate and interact with one another. This paper will dive into the significance of self-efficacy, self-concept, and self-esteem within human relations and their impact on behaviors.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National Library of Medicine, “People with more positive beliefs have a higher self-esteem.” There is a connection between self-esteem and self-concept, and it involves more than just the number of negative or positive beliefs. Studies indicate that self-concept matters because it affects specific aspects of self-knowledge that can be known (Showers). People's self-esteem is shaped by the characteristics of their social relationships. According to the American Psychological Association, “The regulation risk model shows how self-esteem can influence someone’s views of their partner in a relationship, as personal beliefs of being worthy of experiencing love are projected onto their perceptions of the relationship." When individuals feel less valued by their partner, they tend to distance themselves to protect against any possibility of rejection. This results in self-assessments perceived from the partner, which can This can affect the overall outcome of a relationship, including aspects like trust and intimacy (Harris). Self-efficacy influences people's activities and the amount of effort they spend on them. According to Waddington, “Self-efficacy emerges from four different sources, which are mastery experiences, vicarious experiences, verbal persuasion, and physiological and affective states.” Self-efficacy lies in the functioning of humans, and it’s important for humans to have knowledge and skills to perform tasks (Artino).</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self-concept, and self-esteem influence behaviors and relationships. For example, individuals who have a positive self-concept are confident within interactions socially because they clearly understand their identity. In contrast, negative self-concept can lead to doubting oneself, which can affect relationships in a negative aspect. Similarly, self-esteem impacts how people can be perceived in their overall worth and how they are influenced in social engagement or interactions. Individuals with higher self-esteemare more assertive and have a tendency to pursue relationships that will be fulfilling, while others with lower self-esteem will struggle in expressing what they need and how to build trust in relationships. Self-efficacy plays a vital role in solving problems and working as a team. For instance, individuals in a work setting who are higher in self-efficacy are likely to take on positions of leadership and contribute collaborative ideas.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relation between self-efficacy, self-concept, and self-esteem is clear in how they are shaped by human interactions. A person who has a strong self-concept is likely to have higher self-esteem, which enhances their own belief that they can succeed. In social settings, this combination can allow confidence for individuals who have trouble handling difficult social dynamics. Challenges exist in these certain aspects, in particular for the individuals who struggle with self-perceptions negatively. In organizational settings, creating environments that support self development can lead individuals to improve their self-esteem, self-concept, and self-efficacy, which can create effective communication.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Understanding self-efficacy, self-concept, and self-esteem is critical in human relations. These aspects influence the behaviors of individuals and play a vital role in creating interactions socially and through communication. Building self-esteem, enhancing self-efficacy, and creating positive self-perception can lead to stronger relationships in the personal and professional world. Future research could have the opportunity to explore interventions in strengthening the various contexts and offer solutions to improve human relations in a diverse setting.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w:t>
      </w:r>
    </w:p>
    <w:p w:rsidR="00000000" w:rsidDel="00000000" w:rsidP="00000000" w:rsidRDefault="00000000" w:rsidRPr="00000000" w14:paraId="0000002B">
      <w:pPr>
        <w:rPr>
          <w:rFonts w:ascii="Courier New" w:cs="Courier New" w:eastAsia="Courier New" w:hAnsi="Courier New"/>
          <w:color w:val="1b1b1b"/>
          <w:sz w:val="24"/>
          <w:szCs w:val="24"/>
          <w:highlight w:val="whit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Artino A. R., Jr (2012). Academic self-efficacy: from educational theory to instructional practice. </w:t>
      </w:r>
      <w:r w:rsidDel="00000000" w:rsidR="00000000" w:rsidRPr="00000000">
        <w:rPr>
          <w:rFonts w:ascii="Times New Roman" w:cs="Times New Roman" w:eastAsia="Times New Roman" w:hAnsi="Times New Roman"/>
          <w:i w:val="1"/>
          <w:iCs w:val="1"/>
          <w:color w:val="1b1b1b"/>
          <w:sz w:val="24"/>
          <w:szCs w:val="24"/>
          <w:highlight w:val="white"/>
          <w:rtl w:val="0"/>
        </w:rPr>
        <w:t xml:space="preserve">Perspectives on medical education</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iCs w:val="1"/>
          <w:color w:val="1b1b1b"/>
          <w:sz w:val="24"/>
          <w:szCs w:val="24"/>
          <w:highlight w:val="white"/>
          <w:rtl w:val="0"/>
        </w:rPr>
        <w:t xml:space="preserve">1</w:t>
      </w:r>
      <w:r w:rsidDel="00000000" w:rsidR="00000000" w:rsidRPr="00000000">
        <w:rPr>
          <w:rFonts w:ascii="Times New Roman" w:cs="Times New Roman" w:eastAsia="Times New Roman" w:hAnsi="Times New Roman"/>
          <w:color w:val="1b1b1b"/>
          <w:sz w:val="24"/>
          <w:szCs w:val="24"/>
          <w:highlight w:val="white"/>
          <w:rtl w:val="0"/>
        </w:rPr>
        <w:t xml:space="preserve">(2), 76–85.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https://doi.org/10.1007/s40037-012-0012-5</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1b1b1b"/>
          <w:sz w:val="24"/>
          <w:szCs w:val="24"/>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Harris, M. A., &amp; Orth, U. (2019, September 26). The Link Between Self-Esteem and Social Relationships: A Meta-Analysis of Longitudinal Studies. Journal of Personality and Social Psychology. Advance online publication.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http://dx.doi.org/10.1037/pspp0000265</w:t>
        </w:r>
      </w:hyperlink>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1b1b1b"/>
          <w:sz w:val="24"/>
          <w:szCs w:val="24"/>
          <w:highlight w:val="whit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a2a2a"/>
          <w:sz w:val="24"/>
          <w:szCs w:val="24"/>
          <w:highlight w:val="white"/>
          <w:rtl w:val="0"/>
        </w:rPr>
        <w:t xml:space="preserve">Julie Waddington, Self-efficacy, </w:t>
      </w:r>
      <w:r w:rsidDel="00000000" w:rsidR="00000000" w:rsidRPr="00000000">
        <w:rPr>
          <w:rFonts w:ascii="Times New Roman" w:cs="Times New Roman" w:eastAsia="Times New Roman" w:hAnsi="Times New Roman"/>
          <w:i w:val="1"/>
          <w:iCs w:val="1"/>
          <w:color w:val="2a2a2a"/>
          <w:sz w:val="24"/>
          <w:szCs w:val="24"/>
          <w:highlight w:val="white"/>
          <w:rtl w:val="0"/>
        </w:rPr>
        <w:t xml:space="preserve">ELT Journal</w:t>
      </w:r>
      <w:r w:rsidDel="00000000" w:rsidR="00000000" w:rsidRPr="00000000">
        <w:rPr>
          <w:rFonts w:ascii="Times New Roman" w:cs="Times New Roman" w:eastAsia="Times New Roman" w:hAnsi="Times New Roman"/>
          <w:color w:val="2a2a2a"/>
          <w:sz w:val="24"/>
          <w:szCs w:val="24"/>
          <w:highlight w:val="white"/>
          <w:rtl w:val="0"/>
        </w:rPr>
        <w:t xml:space="preserve">, Volume 77, Issue 2, April 2023, Pages 237–240,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https://doi.org/10.1093/elt/ccac046</w:t>
        </w:r>
      </w:hyperlink>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1b1b1b"/>
          <w:sz w:val="24"/>
          <w:szCs w:val="24"/>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Showers, C. J., Ditzfeld, C. P., &amp; Zeigler-Hill, V. (2015). Self-Concept Structure and the Quality of Self-Knowledge. </w:t>
      </w:r>
      <w:r w:rsidDel="00000000" w:rsidR="00000000" w:rsidRPr="00000000">
        <w:rPr>
          <w:rFonts w:ascii="Times New Roman" w:cs="Times New Roman" w:eastAsia="Times New Roman" w:hAnsi="Times New Roman"/>
          <w:i w:val="1"/>
          <w:iCs w:val="1"/>
          <w:color w:val="1b1b1b"/>
          <w:sz w:val="24"/>
          <w:szCs w:val="24"/>
          <w:highlight w:val="white"/>
          <w:rtl w:val="0"/>
        </w:rPr>
        <w:t xml:space="preserve">Journal of personality</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iCs w:val="1"/>
          <w:color w:val="1b1b1b"/>
          <w:sz w:val="24"/>
          <w:szCs w:val="24"/>
          <w:highlight w:val="white"/>
          <w:rtl w:val="0"/>
        </w:rPr>
        <w:t xml:space="preserve">83</w:t>
      </w:r>
      <w:r w:rsidDel="00000000" w:rsidR="00000000" w:rsidRPr="00000000">
        <w:rPr>
          <w:rFonts w:ascii="Times New Roman" w:cs="Times New Roman" w:eastAsia="Times New Roman" w:hAnsi="Times New Roman"/>
          <w:color w:val="1b1b1b"/>
          <w:sz w:val="24"/>
          <w:szCs w:val="24"/>
          <w:highlight w:val="white"/>
          <w:rtl w:val="0"/>
        </w:rPr>
        <w:t xml:space="preserve">(5), 535–551.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https://doi.org/10.1111/jopy.12130</w:t>
        </w:r>
      </w:hyperlink>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1b1b1b"/>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jopy.12130" TargetMode="External"/><Relationship Id="rId5" Type="http://schemas.openxmlformats.org/officeDocument/2006/relationships/styles" Target="styles.xml"/><Relationship Id="rId6" Type="http://schemas.openxmlformats.org/officeDocument/2006/relationships/hyperlink" Target="https://doi.org/10.1007/s40037-012-0012-5" TargetMode="External"/><Relationship Id="rId7" Type="http://schemas.openxmlformats.org/officeDocument/2006/relationships/hyperlink" Target="http://dx.doi.org/10.1037/pspp0000265" TargetMode="External"/><Relationship Id="rId8" Type="http://schemas.openxmlformats.org/officeDocument/2006/relationships/hyperlink" Target="https://doi.org/10.1093/elt/ccac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